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after="120" w:line="360" w:lineRule="auto"/>
        <w:jc w:val="center"/>
      </w:pPr>
      <w:r>
        <w:rPr>
          <w:rFonts w:ascii="SimHei" w:eastAsia="黑体" w:hAnsi="SimHei"/>
          <w:b/>
          <w:bCs/>
          <w:sz w:val="72"/>
          <w:szCs w:val="72"/>
        </w:rPr>
        <w:t xml:space="preserve">《三国志与乱世英雄史诗》</w:t>
      </w:r>
    </w:p>
    <w:p>
      <w:pPr>
        <w:pBdr>
          <w:bottom w:val="single" w:color="000000" w:sz="8" w:space="6"/>
        </w:pBdr>
        <w:spacing w:after="60" w:line="360" w:lineRule="auto"/>
        <w:jc w:val="center"/>
      </w:pPr>
      <w:r>
        <w:rPr>
          <w:rFonts w:ascii="SimHei" w:eastAsia="黑体" w:hAnsi="SimHei"/>
          <w:sz w:val="44"/>
          <w:szCs w:val="44"/>
        </w:rPr>
        <w:t xml:space="preserve">《三国志精讲》课程讲义</w:t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</w:pPr>
      <w:r>
        <w:t xml:space="preserve"/>
      </w:r>
    </w:p>
    <w:p>
      <w:pPr>
        <w:spacing w:line="360" w:lineRule="auto"/>
        <w:jc w:val="center"/>
      </w:pPr>
      <w:r>
        <w:rPr>
          <w:rFonts w:ascii="Times New Roman" w:eastAsia="宋体" w:hAnsi="Times New Roman"/>
          <w:sz w:val="28"/>
          <w:szCs w:val="28"/>
        </w:rPr>
        <w:t xml:space="preserve">高校通识课程 · 数字课程门户配套资料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440" w:right="1640" w:bottom="1440" w:left="16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课程说明</w:t>
      </w:r>
    </w:p>
    <w:p>
      <w:pPr>
        <w:pStyle w:val="Heading2"/>
      </w:pPr>
      <w:r>
        <w:t xml:space="preserve">一、课程性质与定位</w:t>
      </w:r>
    </w:p>
    <w:p>
      <w:pPr>
        <w:spacing w:line="360" w:lineRule="auto"/>
        <w:ind w:firstLine="480"/>
        <w:jc w:val="both"/>
      </w:pPr>
      <w:r>
        <w:t xml:space="preserve">本课程是面向全校本科生开设的人文经典与历史文化类通识选修课。课程以陈寿《三国志》及裴松之注为基础文本，以汉末黄巾之乱至三国归晋近百年的历史进程为主线，兼顾史学方法与文学形象两个维度，引导学生在通读重大史事的同时，辨析正史记载与《三国演义》艺术虚构之间的区别。课程依托数字课程门户开展线上线下混合式教学，是学校通识教育体系中「读史明智、以文化人」的骨干课程之一。</w:t>
      </w:r>
    </w:p>
    <w:p>
      <w:pPr>
        <w:pStyle w:val="Heading2"/>
      </w:pPr>
      <w:r>
        <w:t xml:space="preserve">二、教学目标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知识目标：</w:t>
      </w:r>
      <w:r>
        <w:t xml:space="preserve">系统掌握汉末三国时期的基本历史脉络、重大战役与重要人物，了解《三国志》的体例与裴注的价值，能够区分史实记载与文学虚构。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能力目标：</w:t>
      </w:r>
      <w:r>
        <w:t xml:space="preserve">能够借助工具书阅读浅近文言史料，学会从多重证据出发分析历史因果、评价历史人物，具备课堂研讨发言与规范学术写作的基本能力。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价值目标：</w:t>
      </w:r>
      <w:r>
        <w:t xml:space="preserve">在王朝兴衰与英雄抉择中体认家国情怀与民生关怀，感悟「鞠躬尽瘁，死而后已」的担当精神，树立尊重史实、理性思辨的史学态度。</w:t>
      </w:r>
    </w:p>
    <w:p>
      <w:pPr>
        <w:pStyle w:val="Heading2"/>
      </w:pPr>
      <w:r>
        <w:t xml:space="preserve">三、适用对象与学时安排</w:t>
      </w:r>
    </w:p>
    <w:p>
      <w:pPr>
        <w:spacing w:line="360" w:lineRule="auto"/>
        <w:ind w:firstLine="480"/>
        <w:jc w:val="both"/>
      </w:pPr>
      <w:r>
        <w:t xml:space="preserve">本课程适用于全校各专业大二及以上本科生，无需专门的先修知识，对文史有浓厚兴趣的一年级学生亦可修读。课程总学时为32学时，按16周安排，每周2学时。教学采用课堂讲授、原典选读与专题研讨相结合的方式：每章讲授2学时，其中约三分之一时间用于原典研读与课堂讨论；课前课后通过数字课程门户完成在线学习与思考题。</w:t>
      </w:r>
    </w:p>
    <w:p>
      <w:pPr>
        <w:pStyle w:val="Heading2"/>
      </w:pPr>
      <w:r>
        <w:t xml:space="preserve">四、考核方式</w:t>
      </w:r>
    </w:p>
    <w:p>
      <w:pPr>
        <w:spacing w:line="360" w:lineRule="auto"/>
        <w:ind w:firstLine="480"/>
        <w:jc w:val="both"/>
      </w:pPr>
      <w:r>
        <w:t xml:space="preserve">课程考核采用过程性评价与终结性评价相结合的方式：平时成绩占30%，包括考勤、在线学习记录与课后作业；课堂研讨占30%，包括课堂发言与小组研讨展示；期末论文占40%，要求围绕课程相关选题撰写3000字左右的小论文，须观点明确、引证规范、格式符合学术写作要求。</w:t>
      </w:r>
    </w:p>
    <w:p>
      <w:pPr>
        <w:pStyle w:val="Heading1"/>
      </w:pPr>
      <w:r>
        <w:t xml:space="preserve">第一章　黄巾之乱与群雄并起（184—196）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汉室倾颓，黄巾举事，董卓乱政，群雄并起。一个旧秩序崩塌、新英雄登场的时代由此揭幕。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了解东汉中后期的政治困局与黄巾之乱爆发的深层原因，理解其对汉室统治根基的动摇；</w:t>
      </w:r>
    </w:p>
    <w:p>
      <w:pPr>
        <w:spacing w:line="360" w:lineRule="auto"/>
        <w:ind w:firstLine="480"/>
        <w:jc w:val="both"/>
      </w:pPr>
      <w:r>
        <w:t xml:space="preserve">2. 梳理董卓乱政、关东联军与群雄并起的历史脉络，把握乱世开端的时代特征；</w:t>
      </w:r>
    </w:p>
    <w:p>
      <w:pPr>
        <w:spacing w:line="360" w:lineRule="auto"/>
        <w:ind w:firstLine="480"/>
        <w:jc w:val="both"/>
      </w:pPr>
      <w:r>
        <w:t xml:space="preserve">3. 分析「奉天子以令不臣」与许下屯田对曹操崛起的意义，认识政治名分与经济基础在割据竞争中的作用。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黄巾之乱与东汉统治的瓦解。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军权下放与群雄割据局面的形成。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起义既被镇压，汉室权威为何反而不可逆转地走向崩溃——理解军权下放的制度逻辑。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（一）帝国黄昏与黄巾之乱</w:t>
      </w:r>
    </w:p>
    <w:p>
      <w:pPr>
        <w:spacing w:line="360" w:lineRule="auto"/>
        <w:ind w:firstLine="480"/>
        <w:jc w:val="both"/>
      </w:pPr>
      <w:r>
        <w:t xml:space="preserve">自光武中兴以降，东汉前期国势稳固，然自和帝之后，外戚与宦官交替专权，朝政日非；地方上土地兼并愈演愈烈，流民日增，加之水旱蝗疫连年不断，社会矛盾急剧积聚。巨鹿人张角创立太平道，以符水咒语为人疗疾，十余年间聚众数十万，遍布青、徐、幽、冀诸州，并以「苍天已死，黄天当立，岁在甲子，天下大吉」之谶语凝聚人心。中平元年（184），三十六方依约同日举事，义军头裹黄巾，旬月之间天下响应，京师震动。起义虽在数月内遭到残酷镇压，但朝廷为应急不得不将军政大权下放州郡，改刺史为州牧，地方长官自此拥兵自重、割据自雄，汉室的实际统治已经瓦解。</w:t>
      </w:r>
    </w:p>
    <w:p>
      <w:pPr>
        <w:pStyle w:val="Heading3"/>
      </w:pPr>
      <w:r>
        <w:t xml:space="preserve">（二）董卓乱政与关东联军</w:t>
      </w:r>
    </w:p>
    <w:p>
      <w:pPr>
        <w:spacing w:line="360" w:lineRule="auto"/>
        <w:ind w:firstLine="480"/>
        <w:jc w:val="both"/>
      </w:pPr>
      <w:r>
        <w:t xml:space="preserve">中平六年（189），大将军何进谋诛宦官，反为所杀；袁绍引兵入宫尽诛阉党，朝局陷入更大的混乱。凉州军阀董卓趁乱入主洛阳，废少帝、立献帝，鸩杀太后，焚烧宫室，裹挟天子与百万人口迁都长安。关东州郡推袁绍为盟主起兵讨伐，然而联军各部心存异志、互相攻伐，「军合力不齐，踌躇而雁行」，讨董联盟很快土崩瓦解，各路诸侯转而相互兼并，中国正式进入军阀割据时代。值此之际，刘备、关羽、张飞投身乱世；孙坚战死，孙策继起平定江东；曹操亦散家财于陈留起兵，群雄次第登上历史舞台。</w:t>
      </w:r>
    </w:p>
    <w:p>
      <w:pPr>
        <w:pStyle w:val="Heading3"/>
      </w:pPr>
      <w:r>
        <w:t xml:space="preserve">（三）奉天子与屯田：曹操的崛起</w:t>
      </w:r>
    </w:p>
    <w:p>
      <w:pPr>
        <w:spacing w:line="360" w:lineRule="auto"/>
        <w:ind w:firstLine="480"/>
        <w:jc w:val="both"/>
      </w:pPr>
      <w:r>
        <w:t xml:space="preserve">建安元年（196），曹操采纳毛玠、荀彧之议，迎汉献帝于许县，「奉天子以令不臣」，从此征伐四方皆有名义，在政治上取得独步群雄的主动权。与此同时，他在许下大兴屯田，招募流民耕种，置典农中郎将管理农事，数年之间军粮充足，「征伐四方，无运粮之劳」。军事上，他先后击败吕布、收编青州黄巾精锐为「青州兵」，在群雄中率先站稳根基。此时袁绍据有冀州，正向北兼并公孙瓒，南北两大势力隔河对峙，一场决定北方归属的大决战已不可避免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苍天已死，黄天当立。岁在甲子，天下大吉。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——黄巾军口号 ·《后汉书》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旬月之间，天下向应，京师震动。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——《后汉书·皇甫嵩朱儁列传》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黄巾起义为何能动摇东汉的统治根基？</w:t>
      </w:r>
    </w:p>
    <w:p>
      <w:pPr>
        <w:spacing w:line="360" w:lineRule="auto"/>
        <w:ind w:firstLine="480"/>
        <w:jc w:val="both"/>
      </w:pPr>
      <w:r>
        <w:t xml:space="preserve">2. 「奉天子以令不臣」给曹操带来了哪些政治红利？</w:t>
      </w:r>
    </w:p>
    <w:p>
      <w:pPr>
        <w:spacing w:line="360" w:lineRule="auto"/>
        <w:ind w:firstLine="480"/>
        <w:jc w:val="both"/>
      </w:pPr>
      <w:r>
        <w:t xml:space="preserve">3. 朝廷将兵权下放州郡以救一时之急，为何此后中央再也无力收回权力？试从制度惯性与利益格局的角度加以分析。</w:t>
      </w:r>
    </w:p>
    <w:p>
      <w:pPr>
        <w:pStyle w:val="Heading1"/>
      </w:pPr>
      <w:r>
        <w:t xml:space="preserve">第二章　官渡之战与北方统一（196—207）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官渡鏖兵，焚乌巢而破袁绍；北征乌桓，扫清群雄。曹操统一北方，三顾茅庐的伏笔悄然埋下。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掌握官渡之战的经过及其以少胜多的制胜机理；</w:t>
      </w:r>
    </w:p>
    <w:p>
      <w:pPr>
        <w:spacing w:line="360" w:lineRule="auto"/>
        <w:ind w:firstLine="480"/>
        <w:jc w:val="both"/>
      </w:pPr>
      <w:r>
        <w:t xml:space="preserve">2. 了解曹操平定袁氏、北征乌桓、统一北方的基本过程；</w:t>
      </w:r>
    </w:p>
    <w:p>
      <w:pPr>
        <w:spacing w:line="360" w:lineRule="auto"/>
        <w:ind w:firstLine="480"/>
        <w:jc w:val="both"/>
      </w:pPr>
      <w:r>
        <w:t xml:space="preserve">3. 理解《隆中对》的战略构想及其对三国鼎立格局的奠基意义。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官渡之战的攻守转换与曹操统一北方的进程。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从兵力、粮运、用人、决策诸层面综合分析官渡之战胜负的成因。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（一）官渡相持与火烧乌巢</w:t>
      </w:r>
    </w:p>
    <w:p>
      <w:pPr>
        <w:spacing w:line="360" w:lineRule="auto"/>
        <w:ind w:firstLine="480"/>
        <w:jc w:val="both"/>
      </w:pPr>
      <w:r>
        <w:t xml:space="preserve">建安五年（200），袁绍率十万大军南下攻许，与曹操相持于官渡。袁绍兵多粮足、衣甲精良，曹操兵少粮尽，一度萌生退意，致书荀彧商议还许。荀彧回信力劝：「画地而守，扼其喉而使不能进」，此用奇之时，不可失也，曹操遂坚守营垒以待战机。会袁绍谋士许攸来降，献计偷袭袁绍屯粮之所乌巢，曹操大喜，亲率五千精骑夜袭，尽焚其粮草辎重。袁军闻讯大溃，大将张郃、高览临阵降曹，袁绍仅与八百骑渡河北逃。官渡之战是中国古代以少胜多的经典战例，自此北方归属的天平倒向了曹操。</w:t>
      </w:r>
    </w:p>
    <w:p>
      <w:pPr>
        <w:pStyle w:val="Heading3"/>
      </w:pPr>
      <w:r>
        <w:t xml:space="preserve">（二）袁氏内讧与北疆底定</w:t>
      </w:r>
    </w:p>
    <w:p>
      <w:pPr>
        <w:spacing w:line="360" w:lineRule="auto"/>
        <w:ind w:firstLine="480"/>
        <w:jc w:val="both"/>
      </w:pPr>
      <w:r>
        <w:t xml:space="preserve">官渡战后两年，袁绍忧愤病逝，诸子袁谭、袁尚兄弟阋墙、互相攻伐。曹操采纳郭嘉「急之则相救，缓之则相争」之策，暂缓攻势、坐观其变，而后各个击破，先后平定冀、青、幽、并四州，袁氏残余势力远遁辽西乌桓。建安十二年（207），曹操力排众议远征乌桓，轻兵倍道兼行，在白狼山之战中大破其众，袁尚、袁熙亡走辽东，终为公孙康所杀，北疆自此底定。北征归途中，曹操赋诗言志：「老骥伏枥，志在千里；烈士暮年，壮心不已」，北方统一的大业至此完成。</w:t>
      </w:r>
    </w:p>
    <w:p>
      <w:pPr>
        <w:pStyle w:val="Heading3"/>
      </w:pPr>
      <w:r>
        <w:t xml:space="preserve">（三）三顾茅庐与隆中对策</w:t>
      </w:r>
    </w:p>
    <w:p>
      <w:pPr>
        <w:spacing w:line="360" w:lineRule="auto"/>
        <w:ind w:firstLine="480"/>
        <w:jc w:val="both"/>
      </w:pPr>
      <w:r>
        <w:t xml:space="preserve">同一时期，寄居荆州新野的刘备三顾茅庐，请出二十七岁的诸葛亮。诸葛亮在隆中纵论天下大势：曹操已拥百万之众、挟天子以令诸侯，「诚不可与争锋」；孙权据有江东三世，国险而民附，「可以为援而不可图」；荆州为用武之地，益州乃天府之土，其主皆不能守，可先取荆州、再取益州以为根基，外结孙权、内修政理，西和诸戎、南抚夷越，待天下有变，则命一上将出宛洛、将军自出秦川，两路北伐中原。这篇《隆中对》为此后三十年的历史走向提供了战略蓝图，是理解三国鼎立格局的一把钥匙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老骥伏枥，志在千里；烈士暮年，壮心不已。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——曹操《龟虽寿》· 北征乌桓归途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天下有变，则命一上将将荆州之军以向宛、洛，将军身率益州之众出于秦川。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——《三国志·蜀书·诸葛亮传》（隆中对）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官渡之战中，袁绍兵力占优为何仍然失败？</w:t>
      </w:r>
    </w:p>
    <w:p>
      <w:pPr>
        <w:spacing w:line="360" w:lineRule="auto"/>
        <w:ind w:firstLine="480"/>
        <w:jc w:val="both"/>
      </w:pPr>
      <w:r>
        <w:t xml:space="preserve">2. 《隆中对》的战略构想有哪些前提条件？</w:t>
      </w:r>
    </w:p>
    <w:p>
      <w:pPr>
        <w:spacing w:line="360" w:lineRule="auto"/>
        <w:ind w:firstLine="480"/>
        <w:jc w:val="both"/>
      </w:pPr>
      <w:r>
        <w:t xml:space="preserve">3. 荀彧「画地而守，扼其喉而使不能进」的坚守之策，体现了怎样的战争指导智慧？</w:t>
      </w:r>
    </w:p>
    <w:p>
      <w:pPr>
        <w:pStyle w:val="Heading1"/>
      </w:pPr>
      <w:r>
        <w:t xml:space="preserve">第三章　赤壁之战与三足鼎立（208—214）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孙刘合纵，火烧赤壁，曹操北归。荆州三分、刘备入蜀，鼎立之势自此成形。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梳理曹操南征、荆州易主与孙刘联盟形成的过程；</w:t>
      </w:r>
    </w:p>
    <w:p>
      <w:pPr>
        <w:spacing w:line="360" w:lineRule="auto"/>
        <w:ind w:firstLine="480"/>
        <w:jc w:val="both"/>
      </w:pPr>
      <w:r>
        <w:t xml:space="preserve">2. 分析赤壁之战胜负的军事与政治因素及其对三分格局的奠基作用；</w:t>
      </w:r>
    </w:p>
    <w:p>
      <w:pPr>
        <w:spacing w:line="360" w:lineRule="auto"/>
        <w:ind w:firstLine="480"/>
        <w:jc w:val="both"/>
      </w:pPr>
      <w:r>
        <w:t xml:space="preserve">3. 了解「借荆州」与刘备入蜀的始末，理解鼎立之势的成形。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孙刘联盟的建立与赤壁之战的胜负关键。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围绕荆州归属问题，理解孙刘联盟与生俱来的结构性张力。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（一）曹操南下与荆州易主</w:t>
      </w:r>
    </w:p>
    <w:p>
      <w:pPr>
        <w:spacing w:line="360" w:lineRule="auto"/>
        <w:ind w:firstLine="480"/>
        <w:jc w:val="both"/>
      </w:pPr>
      <w:r>
        <w:t xml:space="preserve">建安十三年（208），曹操基本统一北方之后，率大军南征荆州。适逢荆州牧刘表病逝，其子刘琮继位，在蔡瑁、张允等人劝说下举州归降。屯驻樊城的刘备猝不及防，率军民仓皇南撤，在当阳长坂被曹操五千精骑追及，幸赖张飞据桥断后、赵云护卫家小，方才与诸葛亮等脱身东走夏口。曹操轻取荆州水军与江陵积储的物资，顺江东下，致书孙权，号称「今治水军八十万众，愿与将军会猎于吴」，江东上下震恐，降议甚嚣尘上。</w:t>
      </w:r>
    </w:p>
    <w:p>
      <w:pPr>
        <w:pStyle w:val="Heading3"/>
      </w:pPr>
      <w:r>
        <w:t xml:space="preserve">（二）孙刘联盟与火烧赤壁</w:t>
      </w:r>
    </w:p>
    <w:p>
      <w:pPr>
        <w:spacing w:line="360" w:lineRule="auto"/>
        <w:ind w:firstLine="480"/>
        <w:jc w:val="both"/>
      </w:pPr>
      <w:r>
        <w:t xml:space="preserve">危急关头，诸葛亮奉命出使江东，与鲁肃、周瑜合力促成孙刘联盟。周瑜剖析曹军四患：北土未平、马超韩遂为其后患，一也；北军不习水战，二也；远来疲敝、粮运不继，三也；又遇疾疫、士卒多病，四也。「此数四者，用兵之患也，而操皆冒行之」。两军相遇于赤壁。曹军初战不利，引次江北，以铁索连舟以减少颠簸。黄盖献火攻之计，诈降纵火，时东南风急，火船直冲曹军船队，烟炎张天，人马烧溺死者甚众。曹操引残部自华容道北归。赤壁一战，曹操统一南北的进程被迫中止，三国鼎立的格局由此奠基。</w:t>
      </w:r>
    </w:p>
    <w:p>
      <w:pPr>
        <w:pStyle w:val="Heading3"/>
      </w:pPr>
      <w:r>
        <w:t xml:space="preserve">（三）借荆州与刘备入蜀</w:t>
      </w:r>
    </w:p>
    <w:p>
      <w:pPr>
        <w:spacing w:line="360" w:lineRule="auto"/>
        <w:ind w:firstLine="480"/>
        <w:jc w:val="both"/>
      </w:pPr>
      <w:r>
        <w:t xml:space="preserve">战后，孙权据有荆州大部，刘备则取得江南武陵、长沙、桂阳、零陵四郡，又以「借」的名义从孙权处取得南郡，获得西进的跳板，荆州问题自此成为孙刘联盟的隐患。建安十六年（211），刘备应益州牧刘璋之邀率军入蜀，次年双方反目，庞统献三策，历经三年战争，于建安十九年（214）兵临成都，刘璋出降；诸葛亮、张飞、赵云溯江西入，会师成都。跨有荆、益的刘备集团至此成形，《隆中对》「跨有荆益」的战略蓝图初步兑现，三分天下之势正式成形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强弩之末，势不能穿鲁缟。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——诸葛亮说孙权语 ·《三国志·诸葛亮传》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此数四者，用兵之患也，而操皆冒行之。将军禽操，宜在今日。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——《三国志·吴书·周瑜传》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孙刘联军以弱胜强的关键因素有哪些？</w:t>
      </w:r>
    </w:p>
    <w:p>
      <w:pPr>
        <w:spacing w:line="360" w:lineRule="auto"/>
        <w:ind w:firstLine="480"/>
        <w:jc w:val="both"/>
      </w:pPr>
      <w:r>
        <w:t xml:space="preserve">2. 围绕荆州的归属为何成为此后矛盾的焦点？</w:t>
      </w:r>
    </w:p>
    <w:p>
      <w:pPr>
        <w:spacing w:line="360" w:lineRule="auto"/>
        <w:ind w:firstLine="480"/>
        <w:jc w:val="both"/>
      </w:pPr>
      <w:r>
        <w:t xml:space="preserve">3. 若曹操在赤壁获胜，天下是否必然走向统一？试讨论赤壁之战中的偶然因素与历史大势的关系。</w:t>
      </w:r>
    </w:p>
    <w:p>
      <w:pPr>
        <w:pStyle w:val="Heading1"/>
      </w:pPr>
      <w:r>
        <w:t xml:space="preserve">第四章　夷陵之战与蜀汉兴衰（214—223）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关羽北伐威震华夏，却大意失荆州；刘备称帝伐吴，夷陵连营尽焚，白帝城托孤，蜀汉由盛转衰。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了解关羽北伐襄樊、水淹七军与荆州失守的经过；</w:t>
      </w:r>
    </w:p>
    <w:p>
      <w:pPr>
        <w:spacing w:line="360" w:lineRule="auto"/>
        <w:ind w:firstLine="480"/>
        <w:jc w:val="both"/>
      </w:pPr>
      <w:r>
        <w:t xml:space="preserve">2. 掌握夷陵之战的过程及其对蜀汉国运的影响；</w:t>
      </w:r>
    </w:p>
    <w:p>
      <w:pPr>
        <w:spacing w:line="360" w:lineRule="auto"/>
        <w:ind w:firstLine="480"/>
        <w:jc w:val="both"/>
      </w:pPr>
      <w:r>
        <w:t xml:space="preserve">3. 理解白帝托孤的政治安排与其君臣信任的历史意义。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荆州的丧失与夷陵之战的失败对蜀汉战略的根本打击。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从战略全局出发，评价刘备伐吴决策的得失。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（一）水淹七军与败走麦城</w:t>
      </w:r>
    </w:p>
    <w:p>
      <w:pPr>
        <w:spacing w:line="360" w:lineRule="auto"/>
        <w:ind w:firstLine="480"/>
        <w:jc w:val="both"/>
      </w:pPr>
      <w:r>
        <w:t xml:space="preserve">建安二十四年（219），关羽自荆州北伐，围曹仁于樊城。会汉水暴涨，于禁所督七军尽没，于禁请降，庞德不屈被杀。关羽「威震华夏」，曹操一度欲迁都以避其锋。然而孙权不愿坐视关羽坐大，吕蒙白衣渡江、袭取江陵，麋芳、傅士仁相继归降。关羽进退失据，军众溃散，败走麦城，父子俱为吴军擒杀。荆州的丧失，使《隆中对》两路北伐的战略构想彻底落空，孙刘联盟亦降至冰点，蜀汉的国运自此由盛转衰。</w:t>
      </w:r>
    </w:p>
    <w:p>
      <w:pPr>
        <w:pStyle w:val="Heading3"/>
      </w:pPr>
      <w:r>
        <w:t xml:space="preserve">（二）刘备称帝与夷陵之战</w:t>
      </w:r>
    </w:p>
    <w:p>
      <w:pPr>
        <w:spacing w:line="360" w:lineRule="auto"/>
        <w:ind w:firstLine="480"/>
        <w:jc w:val="both"/>
      </w:pPr>
      <w:r>
        <w:t xml:space="preserve">建安二十五年（220），曹丕代汉称帝，东汉灭亡。次年，刘备在成都称帝，国号汉，改元章武，随即以复仇为名大举伐吴。张飞临行前为部下所害。刘备率军东进，连营数百里，自巫峡至夷陵界分据险要；孙权则以青年将领陆逊为大都督。陆逊坚守不战，待蜀军师老兵疲、暑气蒸腾之际，下令火攻，火烧连营，蜀军土崩瓦解，傅肜、张南等将领皆战死。刘备夜遁白帝城，羞愤成疾，蜀汉元气大伤，从此无力再图江东。</w:t>
      </w:r>
    </w:p>
    <w:p>
      <w:pPr>
        <w:pStyle w:val="Heading3"/>
      </w:pPr>
      <w:r>
        <w:t xml:space="preserve">（三）白帝托孤</w:t>
      </w:r>
    </w:p>
    <w:p>
      <w:pPr>
        <w:spacing w:line="360" w:lineRule="auto"/>
        <w:ind w:firstLine="480"/>
        <w:jc w:val="both"/>
      </w:pPr>
      <w:r>
        <w:t xml:space="preserve">章武三年（223），刘备病笃于永安，召诸葛亮与李严托付后事，对诸葛亮留下千古名言：「君才十倍曹丕，必能安国，终定大事。若嗣子可辅，辅之；如其不才，君可自取。」又诏敕后主刘禅「勿以恶小而为之，勿以善小而不为」，嘱其「父事丞相」。托孤之后君臣无猜，诸葛亮以丞相之尊开府治事，总揽军政，蜀汉由此进入诸葛亮时代。这场托孤既是一项现实的政治安排，也成就了中国历史上君臣信任的千古典范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若嗣子可辅，辅之；如其不才，君可自取。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——刘备白帝托孤 ·《三国志·诸葛亮传》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羽威震华夏，曹公议徙许都以避其锐。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——《三国志·蜀书·关羽传》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关羽之失究竟失在哪里？</w:t>
      </w:r>
    </w:p>
    <w:p>
      <w:pPr>
        <w:spacing w:line="360" w:lineRule="auto"/>
        <w:ind w:firstLine="480"/>
        <w:jc w:val="both"/>
      </w:pPr>
      <w:r>
        <w:t xml:space="preserve">2. 从战略全局看，刘备伐吴是否是理性决策？</w:t>
      </w:r>
    </w:p>
    <w:p>
      <w:pPr>
        <w:spacing w:line="360" w:lineRule="auto"/>
        <w:ind w:firstLine="480"/>
        <w:jc w:val="both"/>
      </w:pPr>
      <w:r>
        <w:t xml:space="preserve">3. 「白帝托孤」何以能够避免常见的权臣篡夺之祸？试从制度设计与人事互信两方面加以分析。</w:t>
      </w:r>
    </w:p>
    <w:p>
      <w:pPr>
        <w:pStyle w:val="Heading1"/>
      </w:pPr>
      <w:r>
        <w:t xml:space="preserve">第五章　五丈原与诸葛亮北伐（223—234）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平定南中、上《出师表》、挥师北伐。秋风五丈原，鞠躬尽瘁，死而后已。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掌握诸葛亮安定南中、整军经武与五次北伐的基本脉络；</w:t>
      </w:r>
    </w:p>
    <w:p>
      <w:pPr>
        <w:spacing w:line="360" w:lineRule="auto"/>
        <w:ind w:firstLine="480"/>
        <w:jc w:val="both"/>
      </w:pPr>
      <w:r>
        <w:t xml:space="preserve">2. 分析北伐受挫的多重原因，尤其是国力对比与粮运制约；</w:t>
      </w:r>
    </w:p>
    <w:p>
      <w:pPr>
        <w:spacing w:line="360" w:lineRule="auto"/>
        <w:ind w:firstLine="480"/>
        <w:jc w:val="both"/>
      </w:pPr>
      <w:r>
        <w:t xml:space="preserve">3. 理解「鞠躬尽瘁，死而后已」精神的史实基础与文化影响。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五次北伐的进程与街亭之败的教训。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客观评价北伐的战略得失——「以攻代守」与「明知不可为而为之」两种解读。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（一）南中平定与出师北伐</w:t>
      </w:r>
    </w:p>
    <w:p>
      <w:pPr>
        <w:spacing w:line="360" w:lineRule="auto"/>
        <w:ind w:firstLine="480"/>
        <w:jc w:val="both"/>
      </w:pPr>
      <w:r>
        <w:t xml:space="preserve">刘备去世后，诸葛亮外结孙权、内修政理，蜀汉政局迅速稳定。建兴三年（225），诸葛亮南征，平定南中豪强与夷帅的叛乱，「攻心为上，攻城为下」，不留兵而用其渠帅，并征调劲卒青羌组成「无当飞军」，南中自此成为北伐的兵源与物资后方。建兴五年，诸葛亮上《出师表》，言辞恳切：「今南方已定，兵甲已足，当奖率三军，北定中原……此臣所以报先帝而忠陛下之职分也。」次年，诸葛亮出屯汉中，第一次北伐自此开始。</w:t>
      </w:r>
    </w:p>
    <w:p>
      <w:pPr>
        <w:pStyle w:val="Heading3"/>
      </w:pPr>
      <w:r>
        <w:t xml:space="preserve">（二）一出祁山与痛失街亭</w:t>
      </w:r>
    </w:p>
    <w:p>
      <w:pPr>
        <w:spacing w:line="360" w:lineRule="auto"/>
        <w:ind w:firstLine="480"/>
        <w:jc w:val="both"/>
      </w:pPr>
      <w:r>
        <w:t xml:space="preserve">建兴六年（228），诸葛亮扬言由斜谷取郿，遣赵云、邓芝为疑兵，自率主力出祁山，陇右天水、南安、安定三郡叛魏响应，关中震动。魏明帝亲赴长安，遣张郃西拒。先锋马谡违背节度，舍水上山，被张郃断其水道，大破于街亭，陇右得而复失。诸葛亮迁三郡之民还汉中，挥泪斩马谡，又上疏自贬三等，以示责帅之义。此后二出陈仓、三取武都阴平二郡，虽有小胜，终因粮运不继、国力悬殊而难以竟全功。</w:t>
      </w:r>
    </w:p>
    <w:p>
      <w:pPr>
        <w:pStyle w:val="Heading3"/>
      </w:pPr>
      <w:r>
        <w:t xml:space="preserve">（三）木牛流马与星落五丈原</w:t>
      </w:r>
    </w:p>
    <w:p>
      <w:pPr>
        <w:spacing w:line="360" w:lineRule="auto"/>
        <w:ind w:firstLine="480"/>
        <w:jc w:val="both"/>
      </w:pPr>
      <w:r>
        <w:t xml:space="preserve">建兴十二年（234），诸葛亮第五次北伐，出斜谷、屯五丈原，与司马懿隔渭水对峙。为解决蜀道运粮之难，他创制木牛流马；又分兵屯田，为久驻之计；并送巾帼妇衣激司马懿出战，司马懿坚壁不出，受之泰然。相持百余日，诸葛亮积劳成疾，病逝军中，时年五十四。蜀军秘不发丧、整军而退，司马懿巡视其营垒遗迹，叹为「天下奇才」。「出师未捷身先死，长使英雄泪满襟」——北伐虽未成功，其鞠躬尽瘁之志与治军严整之风，长为后世所敬仰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鞠躬尽瘁，死而后已。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——《后出师表》（传诸葛亮）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可谓识治之良才，管、萧之亚匹矣。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——《三国志·蜀书·诸葛亮传》陈寿评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制约诸葛亮北伐成功的根本因素是什么？</w:t>
      </w:r>
    </w:p>
    <w:p>
      <w:pPr>
        <w:spacing w:line="360" w:lineRule="auto"/>
        <w:ind w:firstLine="480"/>
        <w:jc w:val="both"/>
      </w:pPr>
      <w:r>
        <w:t xml:space="preserve">2. 如何评价司马懿「坚壁拒守」的战略？</w:t>
      </w:r>
    </w:p>
    <w:p>
      <w:pPr>
        <w:spacing w:line="360" w:lineRule="auto"/>
        <w:ind w:firstLine="480"/>
        <w:jc w:val="both"/>
      </w:pPr>
      <w:r>
        <w:t xml:space="preserve">3. 以益州一州之地对抗九州之魏，北伐究竟是「以攻代守」的理性国策，还是「明知不可为而为之」的悲壮选择？试陈己见。</w:t>
      </w:r>
    </w:p>
    <w:p>
      <w:pPr>
        <w:pStyle w:val="Heading1"/>
      </w:pPr>
      <w:r>
        <w:t xml:space="preserve">第六章　司马氏崛起与高平陵之变（234—263）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诸葛亮身后，姜维数伐中原；司马懿隐忍蓄势，高平陵一击定乾坤。司马氏专权，魏灭蜀汉。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了解诸葛亮身后蜀汉政局的演变与姜维北伐的得失；</w:t>
      </w:r>
    </w:p>
    <w:p>
      <w:pPr>
        <w:spacing w:line="360" w:lineRule="auto"/>
        <w:ind w:firstLine="480"/>
        <w:jc w:val="both"/>
      </w:pPr>
      <w:r>
        <w:t xml:space="preserve">2. 掌握高平陵之变的经过及其对曹魏政权性质的改变；</w:t>
      </w:r>
    </w:p>
    <w:p>
      <w:pPr>
        <w:spacing w:line="360" w:lineRule="auto"/>
        <w:ind w:firstLine="480"/>
        <w:jc w:val="both"/>
      </w:pPr>
      <w:r>
        <w:t xml:space="preserve">3. 理解魏灭蜀之战的战略部署与蜀汉灭亡的原因。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高平陵之变的过程与司马氏专权的确立。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认识三国后期胜负关键由沙场转向朝堂的深层逻辑。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（一）诸葛亮身后与姜维继志</w:t>
      </w:r>
    </w:p>
    <w:p>
      <w:pPr>
        <w:spacing w:line="360" w:lineRule="auto"/>
        <w:ind w:firstLine="480"/>
        <w:jc w:val="both"/>
      </w:pPr>
      <w:r>
        <w:t xml:space="preserve">诸葛亮去世后，蒋琬、费祎相继执政，奉行保境安民、休养生息之策，北伐暂歇，蜀汉国力得以恢复。费祎遇刺身亡之后，姜维以大将军秉政，继承武侯遗志，先后多次出兵陇右，互有胜负，然胜少败多，尤以段谷之败损失惨重，国力日耗。朝中宦官黄皓用事，姜维不敢还朝，屯田沓中以避祸。蜀汉内部人才凋零、将相离心，已现衰亡之象。</w:t>
      </w:r>
    </w:p>
    <w:p>
      <w:pPr>
        <w:pStyle w:val="Heading3"/>
      </w:pPr>
      <w:r>
        <w:t xml:space="preserve">（二）高平陵之变</w:t>
      </w:r>
    </w:p>
    <w:p>
      <w:pPr>
        <w:spacing w:line="360" w:lineRule="auto"/>
        <w:ind w:firstLine="480"/>
        <w:jc w:val="both"/>
      </w:pPr>
      <w:r>
        <w:t xml:space="preserve">曹魏方面，明帝早逝，幼主曹芳即位，宗室曹爽与大将司马懿共同辅政。曹爽引用何晏、邓飏等人，排挤司马懿，独揽朝政；司马懿称病不出、韬光养晦，暗中却蓄养死士、联络元老。嘉平元年（249），趁曹爽兄弟随帝出谒高平陵之机，司马懿突然发难，关闭洛阳城门，控制武库与宫城，又指洛水为誓，许诺但免曹爽官职而已。曹爽不听桓范之劝，束手投降，旋即以谋反罪被族诛。自此魏国军政尽归司马氏，史称「高平陵之变」。</w:t>
      </w:r>
    </w:p>
    <w:p>
      <w:pPr>
        <w:pStyle w:val="Heading3"/>
      </w:pPr>
      <w:r>
        <w:t xml:space="preserve">（三）司马昭之心与魏灭蜀</w:t>
      </w:r>
    </w:p>
    <w:p>
      <w:pPr>
        <w:spacing w:line="360" w:lineRule="auto"/>
        <w:ind w:firstLine="480"/>
        <w:jc w:val="both"/>
      </w:pPr>
      <w:r>
        <w:t xml:space="preserve">司马懿死后，司马师、司马昭相继掌权，先后平定毌丘俭、文钦与诸葛诞等拥魏起兵。司马昭又弑杀皇帝曹髦，「司马昭之心，路人所知也」遂成千古成语。景元四年（263），司马昭遣钟会、邓艾、诸葛绪分三路伐蜀：钟会主力被姜维阻于剑阁，邓艾却率精兵偷渡阴平，凿山开道七百余里，裹毡滚崖而下，直出江油，于绵竹斩诸葛瞻，兵临成都。刘禅出降，蜀汉灭亡；姜维诈降钟会，图谋复国，事败身死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司马昭之心，路人所知也。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——曹髦语 ·《三国志》注引《汉晋春秋》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（司马懿）指洛水为誓。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——《资治通鉴·魏纪八》（嘉平元年）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司马懿能够成功发动高平陵之变的条件有哪些？</w:t>
      </w:r>
    </w:p>
    <w:p>
      <w:pPr>
        <w:spacing w:line="360" w:lineRule="auto"/>
        <w:ind w:firstLine="480"/>
        <w:jc w:val="both"/>
      </w:pPr>
      <w:r>
        <w:t xml:space="preserve">2. 姜维屡败屡战，其战略价值应如何评价？</w:t>
      </w:r>
    </w:p>
    <w:p>
      <w:pPr>
        <w:spacing w:line="360" w:lineRule="auto"/>
        <w:ind w:firstLine="480"/>
        <w:jc w:val="both"/>
      </w:pPr>
      <w:r>
        <w:t xml:space="preserve">3. 曹爽若纳桓范之谋，奉天子幸许昌、号召四方，高平陵之变的结局可能有何不同？试论历史转折中的偶然因素。</w:t>
      </w:r>
    </w:p>
    <w:p>
      <w:pPr>
        <w:pStyle w:val="Heading1"/>
      </w:pPr>
      <w:r>
        <w:t xml:space="preserve">第七章　三国归晋与天下一统（263—280）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司马炎代魏建晋，王濬楼船顺江而下，孙皓出降。百年乱世归于统一，却又暗藏新的裂变。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掌握司马炎代魏与西晋建立的过程；</w:t>
      </w:r>
    </w:p>
    <w:p>
      <w:pPr>
        <w:spacing w:line="360" w:lineRule="auto"/>
        <w:ind w:firstLine="480"/>
        <w:jc w:val="both"/>
      </w:pPr>
      <w:r>
        <w:t xml:space="preserve">2. 了解晋灭吴之战的战略部署与王濬楼船下江东的史实；</w:t>
      </w:r>
    </w:p>
    <w:p>
      <w:pPr>
        <w:spacing w:line="360" w:lineRule="auto"/>
        <w:ind w:firstLine="480"/>
        <w:jc w:val="both"/>
      </w:pPr>
      <w:r>
        <w:t xml:space="preserve">3. 思考西晋统一迅速瓦解的原因，认识「太康之治」的历史局限。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晋灭吴之战与三国时代的终结。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理解门阀政治与宗室分封如何埋下西晋速亡的祸根。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（一）司马炎代魏</w:t>
      </w:r>
    </w:p>
    <w:p>
      <w:pPr>
        <w:spacing w:line="360" w:lineRule="auto"/>
        <w:ind w:firstLine="480"/>
        <w:jc w:val="both"/>
      </w:pPr>
      <w:r>
        <w:t xml:space="preserve">灭蜀之后，司马昭进爵晋王，加殊礼，未及代魏而卒。咸熙二年（265），其子司马炎逼迫魏元帝曹奂禅让，建立晋朝，定都洛阳，改元泰始，史称西晋。司马炎以曹魏宗室孤立、无人屏藩而亡为鉴，大封宗室二十七王，并授以兵权、出任都督——这一决定日后成为「八王之乱」的祸根。东吴方面，末帝孙皓穷奢极虐，滥杀大臣，民心尽失，仅凭长江天险苟延残喘，吴亡之势已成。</w:t>
      </w:r>
    </w:p>
    <w:p>
      <w:pPr>
        <w:pStyle w:val="Heading3"/>
      </w:pPr>
      <w:r>
        <w:t xml:space="preserve">（二）楼船下益州：晋灭吴之战</w:t>
      </w:r>
    </w:p>
    <w:p>
      <w:pPr>
        <w:spacing w:line="360" w:lineRule="auto"/>
        <w:ind w:firstLine="480"/>
        <w:jc w:val="both"/>
      </w:pPr>
      <w:r>
        <w:t xml:space="preserve">咸宁五年（279）冬，晋六路大军二十余万分道伐吴。益州刺史王濬经营水师多年，建造连舫巨舰，方百二十步，受二千余人，顺长江浩荡而下；为破吴军横于江中的铁锁与暗置的铁锥，他先以大筏数十冲锥，又作火炬长十余丈、灌以麻油，遇锁燃炬烧之，须臾融液断绝，「舟舰之盛，自古未有」。太康元年（280）三月，王濬楼船直抵建业石头城，孙皓面缚舆榇出降。自汉末董卓之乱算起，近百年的分裂战乱至此终结，天下复归一统。</w:t>
      </w:r>
    </w:p>
    <w:p>
      <w:pPr>
        <w:pStyle w:val="Heading3"/>
      </w:pPr>
      <w:r>
        <w:t xml:space="preserve">（三）太康短暂与历史之问</w:t>
      </w:r>
    </w:p>
    <w:p>
      <w:pPr>
        <w:spacing w:line="360" w:lineRule="auto"/>
        <w:ind w:firstLine="480"/>
        <w:jc w:val="both"/>
      </w:pPr>
      <w:r>
        <w:t xml:space="preserve">统一之后，西晋出现「太康之治」的短暂繁荣，史称「天下无事，赋税平均，人咸安其业而乐其事」。然而承平日久，门阀士族迅速固化，奢靡成风，石崇与王恺斗富即其缩影；宗室诸王手握重兵、各怀异志。统一仅十年，「八王之乱」爆发，继而永嘉丧乱、五胡入洛，西晋灭亡，中国再度陷入近三百年的南北分裂。「分久必合，合久必分」的历史循环，在三国归晋的节点上留下深沉的历史之问：为何有些统一能够长治久安，有些统一却转瞬崩塌？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王濬楼船下益州，金陵王气黯然收。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——刘禹锡《西塞山怀古》（唐人咏史）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遇锁，然炬烧之，须臾融液断绝，于是船无所碍。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——《晋书·王濬传》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西晋为何能够完成统一？</w:t>
      </w:r>
    </w:p>
    <w:p>
      <w:pPr>
        <w:spacing w:line="360" w:lineRule="auto"/>
        <w:ind w:firstLine="480"/>
        <w:jc w:val="both"/>
      </w:pPr>
      <w:r>
        <w:t xml:space="preserve">2. 其统一局面为何如此短暂？</w:t>
      </w:r>
    </w:p>
    <w:p>
      <w:pPr>
        <w:spacing w:line="360" w:lineRule="auto"/>
        <w:ind w:firstLine="480"/>
        <w:jc w:val="both"/>
      </w:pPr>
      <w:r>
        <w:t xml:space="preserve">3. 比较西晋大封宗室与曹魏抑制宗室两种国策的得失，谈谈「以史为鉴」何以常常顾此失彼。</w:t>
      </w:r>
    </w:p>
    <w:p>
      <w:pPr>
        <w:pStyle w:val="Heading1"/>
      </w:pPr>
      <w:r>
        <w:t xml:space="preserve">第八章　陈寿著史与《三国志》流传（280—至今）</w:t>
      </w:r>
    </w:p>
    <w:p>
      <w:pPr>
        <w:spacing w:after="120" w:line="360" w:lineRule="auto"/>
        <w:ind w:firstLine="480"/>
        <w:jc w:val="both"/>
      </w:pPr>
      <w:r>
        <w:rPr>
          <w:rFonts w:ascii="Times New Roman" w:eastAsia="楷体" w:hAnsi="Times New Roman"/>
          <w:b/>
          <w:bCs/>
        </w:rPr>
        <w:t xml:space="preserve">本章导读：</w:t>
      </w:r>
      <w:r>
        <w:rPr>
          <w:rFonts w:ascii="Times New Roman" w:eastAsia="楷体" w:hAnsi="Times New Roman"/>
        </w:rPr>
        <w:t xml:space="preserve">陈寿秉笔成「前四史」之一，裴松之作注开史注先河；由史书而演义，三国成为不朽的文化母题。</w:t>
      </w:r>
    </w:p>
    <w:p>
      <w:pPr>
        <w:pStyle w:val="Heading2"/>
      </w:pPr>
      <w:r>
        <w:t xml:space="preserve">一、教学目标</w:t>
      </w:r>
    </w:p>
    <w:p>
      <w:pPr>
        <w:spacing w:line="360" w:lineRule="auto"/>
        <w:ind w:firstLine="480"/>
        <w:jc w:val="both"/>
      </w:pPr>
      <w:r>
        <w:t xml:space="preserve">1. 了解陈寿的生平与《三国志》的体例、成就及其在「前四史」中的地位；</w:t>
      </w:r>
    </w:p>
    <w:p>
      <w:pPr>
        <w:spacing w:line="360" w:lineRule="auto"/>
        <w:ind w:firstLine="480"/>
        <w:jc w:val="both"/>
      </w:pPr>
      <w:r>
        <w:t xml:space="preserve">2. 掌握裴松之注「四法」的体例创新及其史料价值；</w:t>
      </w:r>
    </w:p>
    <w:p>
      <w:pPr>
        <w:spacing w:line="360" w:lineRule="auto"/>
        <w:ind w:firstLine="480"/>
        <w:jc w:val="both"/>
      </w:pPr>
      <w:r>
        <w:t xml:space="preserve">3. 辨析《三国志》与《三国演义》史实与虚构的区别，形成历史与文学分际的意识。</w:t>
      </w:r>
    </w:p>
    <w:p>
      <w:pPr>
        <w:pStyle w:val="Heading2"/>
      </w:pPr>
      <w:r>
        <w:t xml:space="preserve">二、重点与难点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重点：</w:t>
      </w:r>
      <w:r>
        <w:t xml:space="preserve">《三国志》的体例特点与裴注的史料价值。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难点：</w:t>
      </w:r>
      <w:r>
        <w:t xml:space="preserve">理解陈寿「以魏为正统」的书写立场与史家笔法的关系。</w:t>
      </w:r>
    </w:p>
    <w:p>
      <w:pPr>
        <w:pStyle w:val="Heading2"/>
      </w:pPr>
      <w:r>
        <w:t xml:space="preserve">三、核心内容</w:t>
      </w:r>
    </w:p>
    <w:p>
      <w:pPr>
        <w:pStyle w:val="Heading3"/>
      </w:pPr>
      <w:r>
        <w:t xml:space="preserve">（一）陈寿与《三国志》</w:t>
      </w:r>
    </w:p>
    <w:p>
      <w:pPr>
        <w:spacing w:line="360" w:lineRule="auto"/>
        <w:ind w:firstLine="480"/>
        <w:jc w:val="both"/>
      </w:pPr>
      <w:r>
        <w:t xml:space="preserve">陈寿（233—297），巴西郡安汉人，师从学者谯周，仕蜀为观阁令史，蜀亡后入晋，历官佐著作郎、治书侍御史。他搜求魏、蜀、吴三国史籍，删削繁芜，撰成《三国志》六十五卷：《魏书》三十卷、《蜀书》十五卷、《吴书》二十卷，为纪传体国别史，与《史记》《汉书》《后汉书》并称「前四史」。其书叙事简洁、取材谨严，时人称其「善叙事，有良史之才」。唯因成书于晋承魏统的政治语境，以魏为正统，纪年用魏帝年号，蜀、吴君主只称「主」不称「帝」，其笔法历来为学者所讨论。</w:t>
      </w:r>
    </w:p>
    <w:p>
      <w:pPr>
        <w:pStyle w:val="Heading3"/>
      </w:pPr>
      <w:r>
        <w:t xml:space="preserve">（二）裴松之注：史料宝库</w:t>
      </w:r>
    </w:p>
    <w:p>
      <w:pPr>
        <w:spacing w:line="360" w:lineRule="auto"/>
        <w:ind w:firstLine="480"/>
        <w:jc w:val="both"/>
      </w:pPr>
      <w:r>
        <w:t xml:space="preserve">《三国志》行文简略，南朝宋文帝以「失在于略」，命裴松之为之作注。裴松之广采汉魏以来史书、杂记、家传二百余种，凡「应载于史而本书不载」者悉补入，注文与正文篇幅相当，体例上开创「补阙、备异、惩妄、论辩」四法。裴注保存了大量正史之外的珍贵史料，如《魏略》《九州春秋》《襄阳记》《汉晋春秋》等今已亡佚之书，皆赖裴注得以流传片段。读三国史，陈书与裴注不可偏废。</w:t>
      </w:r>
    </w:p>
    <w:p>
      <w:pPr>
        <w:pStyle w:val="Heading3"/>
      </w:pPr>
      <w:r>
        <w:t xml:space="preserve">（三）从史书到演义：文化三国的千年流传</w:t>
      </w:r>
    </w:p>
    <w:p>
      <w:pPr>
        <w:spacing w:line="360" w:lineRule="auto"/>
        <w:ind w:firstLine="480"/>
        <w:jc w:val="both"/>
      </w:pPr>
      <w:r>
        <w:t xml:space="preserve">三国故事自隋唐以来在民间讲说流传，至元末明初，罗贯中以陈寿史书为骨、裴注杂史为肉、民间传说为魂，撰成《三国演义》，「七分实事，三分虚构」，塑造了尊刘贬曹的叙事基调与忠义智勇的人物群像。此后三国成为戏曲、评书、年画、庙祀乃至当代影视与游戏的永恒母题：关羽成为武圣，诸葛亮成为智慧化身，「三顾茅庐」「草船借箭」「空城计」成为汉语的日常典故。读懂《三国志》与《三国演义》的史实与虚构之别，正是本课程的核心目标所在。</w:t>
      </w:r>
    </w:p>
    <w:p>
      <w:pPr>
        <w:pStyle w:val="Heading2"/>
      </w:pPr>
      <w:r>
        <w:t xml:space="preserve">四、原典选读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【本章名句】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三顾频烦天下计，两朝开济老臣心。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——杜甫《蜀相》</w:t>
      </w:r>
    </w:p>
    <w:p>
      <w:pPr>
        <w:spacing w:after="0" w:line="360" w:lineRule="auto"/>
        <w:ind w:left="480"/>
      </w:pPr>
      <w:r>
        <w:rPr>
          <w:b/>
          <w:bCs/>
        </w:rPr>
        <w:t xml:space="preserve">【相关史料】</w:t>
      </w:r>
    </w:p>
    <w:p>
      <w:pPr>
        <w:spacing w:after="0" w:before="60" w:line="360" w:lineRule="auto"/>
        <w:ind w:left="480" w:right="480"/>
        <w:jc w:val="left"/>
      </w:pPr>
      <w:r>
        <w:rPr>
          <w:rFonts w:ascii="Times New Roman" w:eastAsia="楷体" w:hAnsi="Times New Roman"/>
          <w:sz w:val="24"/>
          <w:szCs w:val="24"/>
        </w:rPr>
        <w:t xml:space="preserve">陈寿三志，文质辨洽，荀张比之于迁固，非妄誉也。</w:t>
      </w:r>
    </w:p>
    <w:p>
      <w:pPr>
        <w:spacing w:after="120" w:line="360" w:lineRule="auto"/>
        <w:ind w:right="480"/>
        <w:jc w:val="right"/>
      </w:pPr>
      <w:r>
        <w:rPr>
          <w:rFonts w:ascii="Times New Roman" w:eastAsia="楷体" w:hAnsi="Times New Roman"/>
          <w:sz w:val="21"/>
          <w:szCs w:val="21"/>
        </w:rPr>
        <w:t xml:space="preserve">——《文心雕龙·史传》</w:t>
      </w:r>
    </w:p>
    <w:p>
      <w:pPr>
        <w:pStyle w:val="Heading2"/>
      </w:pPr>
      <w:r>
        <w:t xml:space="preserve">五、思考与研讨</w:t>
      </w:r>
    </w:p>
    <w:p>
      <w:pPr>
        <w:spacing w:line="360" w:lineRule="auto"/>
        <w:ind w:firstLine="480"/>
        <w:jc w:val="both"/>
      </w:pPr>
      <w:r>
        <w:t xml:space="preserve">1. 陈寿《三国志》的史料价值与书写立场应如何评价？</w:t>
      </w:r>
    </w:p>
    <w:p>
      <w:pPr>
        <w:spacing w:line="360" w:lineRule="auto"/>
        <w:ind w:firstLine="480"/>
        <w:jc w:val="both"/>
      </w:pPr>
      <w:r>
        <w:t xml:space="preserve">2. 历史与演义的边界在哪里？</w:t>
      </w:r>
    </w:p>
    <w:p>
      <w:pPr>
        <w:spacing w:line="360" w:lineRule="auto"/>
        <w:ind w:firstLine="480"/>
        <w:jc w:val="both"/>
      </w:pPr>
      <w:r>
        <w:t xml:space="preserve">3. 举出一例《三国演义》虚构而《三国志》不载的情节，讨论艺术虚构对人物塑造与历史认知的不同影响。</w:t>
      </w:r>
    </w:p>
    <w:p>
      <w:pPr>
        <w:pStyle w:val="Heading1"/>
      </w:pPr>
      <w:r>
        <w:t xml:space="preserve">附录</w:t>
      </w:r>
    </w:p>
    <w:p>
      <w:pPr>
        <w:pStyle w:val="Heading2"/>
      </w:pPr>
      <w:r>
        <w:t xml:space="preserve">一、参考书目</w:t>
      </w:r>
    </w:p>
    <w:p>
      <w:pPr>
        <w:spacing w:line="360" w:lineRule="auto"/>
        <w:ind w:left="480" w:hanging="480"/>
        <w:jc w:val="both"/>
      </w:pPr>
      <w:r>
        <w:t xml:space="preserve">[1] 〔晋〕陈寿 撰，〔宋〕裴松之 注：《三国志》，北京：中华书局，1959年。（点校本）</w:t>
      </w:r>
    </w:p>
    <w:p>
      <w:pPr>
        <w:spacing w:line="360" w:lineRule="auto"/>
        <w:ind w:left="480" w:hanging="480"/>
        <w:jc w:val="both"/>
      </w:pPr>
      <w:r>
        <w:t xml:space="preserve">[2] 〔南朝宋〕范晔 撰，〔唐〕李贤 等注：《后汉书》，北京：中华书局，1965年。（点校本）</w:t>
      </w:r>
    </w:p>
    <w:p>
      <w:pPr>
        <w:spacing w:line="360" w:lineRule="auto"/>
        <w:ind w:left="480" w:hanging="480"/>
        <w:jc w:val="both"/>
      </w:pPr>
      <w:r>
        <w:t xml:space="preserve">[3] 〔宋〕司马光 主编：《资治通鉴》（汉纪、魏纪、晋纪部分），北京：中华书局，1956年。（点校本）</w:t>
      </w:r>
    </w:p>
    <w:p>
      <w:pPr>
        <w:spacing w:line="360" w:lineRule="auto"/>
        <w:ind w:left="480" w:hanging="480"/>
        <w:jc w:val="both"/>
      </w:pPr>
      <w:r>
        <w:t xml:space="preserve">[4] 〔明〕罗贯中 著，〔清〕毛宗岗 评：《三国演义》（毛宗岗评本），北京：人民文学出版社，1973年。</w:t>
      </w:r>
    </w:p>
    <w:p>
      <w:pPr>
        <w:spacing w:line="360" w:lineRule="auto"/>
        <w:ind w:left="480" w:hanging="480"/>
        <w:jc w:val="both"/>
      </w:pPr>
      <w:r>
        <w:t xml:space="preserve">[5] 田余庆：《秦汉魏晋史探微》（修订本），北京：中华书局，2004年。</w:t>
      </w:r>
    </w:p>
    <w:p>
      <w:pPr>
        <w:spacing w:line="360" w:lineRule="auto"/>
        <w:ind w:left="480" w:hanging="480"/>
        <w:jc w:val="both"/>
      </w:pPr>
      <w:r>
        <w:t xml:space="preserve">[6] 周一良：《魏晋南北朝史札记》，北京：中华书局，1985年。</w:t>
      </w:r>
    </w:p>
    <w:p>
      <w:pPr>
        <w:spacing w:line="360" w:lineRule="auto"/>
        <w:ind w:left="480" w:hanging="480"/>
        <w:jc w:val="both"/>
      </w:pPr>
      <w:r>
        <w:t xml:space="preserve">[7] 唐长孺：《魏晋南北朝史论丛》，北京：生活·读书·新知三联书店，1955年。</w:t>
      </w:r>
    </w:p>
    <w:p>
      <w:pPr>
        <w:spacing w:line="360" w:lineRule="auto"/>
        <w:ind w:left="480" w:hanging="480"/>
        <w:jc w:val="both"/>
      </w:pPr>
      <w:r>
        <w:t xml:space="preserve">[8] 吕思勉：《三国史话》，上海：上海古籍出版社，2009年。</w:t>
      </w:r>
    </w:p>
    <w:p>
      <w:pPr>
        <w:spacing w:line="360" w:lineRule="auto"/>
        <w:ind w:left="480" w:hanging="480"/>
        <w:jc w:val="both"/>
      </w:pPr>
      <w:r>
        <w:t xml:space="preserve">[9] 方诗铭：《曹操·袁绍·黄巾》，上海：上海社会科学院出版社，1995年。</w:t>
      </w:r>
    </w:p>
    <w:p>
      <w:pPr>
        <w:pStyle w:val="Heading2"/>
      </w:pPr>
      <w:r>
        <w:t xml:space="preserve">二、术语小释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1. 州郡制：</w:t>
      </w:r>
      <w:r>
        <w:t xml:space="preserve">秦汉地方行政制度，郡辖县两级；东汉后期刺史、州牧渐掌军政大权，州演变为郡县之上的最高行政区划，成为汉末军阀割据的制度背景。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2. 屯田：</w:t>
      </w:r>
      <w:r>
        <w:t xml:space="preserve">政府组织士兵或农民垦殖以充军实的经营方式。曹操兴办许下屯田，分民屯、军屯两种，有效解决了战时粮饷问题，是曹魏立国的重要经济制度。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3. 九品中正：</w:t>
      </w:r>
      <w:r>
        <w:t xml:space="preserve">曹魏时期确立的选官制度，由州郡中正官依乡邑评议将人才分为九品、铨选授官；后为门阀士族把持，遂有「上品无寒门，下品无势族」之讥。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4. 纪传体：</w:t>
      </w:r>
      <w:r>
        <w:t xml:space="preserve">以人物传记为中心叙述历史的史书体裁，由司马迁《史记》创立，由本纪、列传、志、表等部分构成；《三国志》即为纪传体断代国别史。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5. 裴注四法：</w:t>
      </w:r>
      <w:r>
        <w:t xml:space="preserve">裴松之为《三国志》作注所创的四条例：补阙（补充本书遗缺）、备异（并存不同记载）、惩妄（纠正史实讹误）、论辩（考辨是非并加评论）。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6. 察举制：</w:t>
      </w:r>
      <w:r>
        <w:t xml:space="preserve">汉代由地方长官按孝廉、茂才等科目向朝廷举荐人才的选官制度，东汉后期渐趋名实相悖，成为士人邀名结党的工具。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7. 士族门阀：</w:t>
      </w:r>
      <w:r>
        <w:t xml:space="preserve">东汉以来凭借经学传家与乡里清议形成的世家大族，魏晋时期垄断仕途、把持清要，形成门阀政治，深刻影响三国两晋的政局走向。</w:t>
      </w:r>
    </w:p>
    <w:p>
      <w:pPr>
        <w:spacing w:line="360" w:lineRule="auto"/>
        <w:ind w:firstLine="480"/>
        <w:jc w:val="both"/>
      </w:pPr>
      <w:r>
        <w:rPr>
          <w:b/>
          <w:bCs/>
        </w:rPr>
        <w:t xml:space="preserve">8. 坞壁：</w:t>
      </w:r>
      <w:r>
        <w:t xml:space="preserve">汉末战乱中豪强宗族修筑的武装聚居据点，聚族而居、且耕且守，兼具军事防御与经济自足功能，是乱世基层社会自保的典型形态。</w:t>
      </w:r>
    </w:p>
    <w:sectPr>
      <w:headerReference w:type="default" r:id="rId9"/>
      <w:footerReference w:type="default" r:id="rId10"/>
      <w:type w:val="nextPage"/>
      <w:pgSz w:w="11906" w:h="16838" w:orient="portrait"/>
      <w:pgMar w:top="1440" w:right="1640" w:bottom="1440" w:left="16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3"/>
      </w:pBdr>
      <w:jc w:val="center"/>
    </w:pPr>
    <w:r>
      <w:rPr>
        <w:rFonts w:ascii="Times New Roman" w:eastAsia="宋体" w:hAnsi="Times New Roman"/>
        <w:sz w:val="18"/>
        <w:szCs w:val="18"/>
      </w:rPr>
      <w:t xml:space="preserve">《三国志精讲》课程讲义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sz w:val="24"/>
        <w:szCs w:val="24"/>
      </w:rPr>
    </w:rPrDefault>
    <w:pPrDefault>
      <w:pPr>
        <w:spacing w:line="36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ageBreakBefore/>
      <w:spacing w:after="240" w:before="240" w:line="360" w:lineRule="auto"/>
      <w:outlineLvl w:val="0"/>
    </w:pPr>
    <w:rPr>
      <w:rFonts w:ascii="SimHei" w:eastAsia="黑体" w:hAnsi="SimHei"/>
      <w:b/>
      <w:bCs/>
      <w:color w:val="00000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 w:line="360" w:lineRule="auto"/>
      <w:outlineLvl w:val="1"/>
    </w:pPr>
    <w:rPr>
      <w:rFonts w:ascii="SimHei" w:eastAsia="黑体" w:hAnsi="SimHei"/>
      <w:b/>
      <w:bCs/>
      <w:color w:val="000000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80" w:before="160" w:line="360" w:lineRule="auto"/>
      <w:outlineLvl w:val="2"/>
    </w:pPr>
    <w:rPr>
      <w:rFonts w:ascii="SimHei" w:eastAsia="黑体" w:hAnsi="SimHei"/>
      <w:b/>
      <w:bCs/>
      <w:color w:val="00000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《三国志精讲》课程讲义</dc:title>
  <dc:subject>高校通识课程《三国志与乱世英雄史诗》配套讲义</dc:subject>
  <dc:creator>数字课程门户</dc:creator>
  <dc:description>《三国志精讲》八章讲义：黄巾之乱至三国归晋，兼及《三国志》与《三国演义》。</dc:description>
  <cp:lastModifiedBy>Un-named</cp:lastModifiedBy>
  <cp:revision>1</cp:revision>
  <dcterms:created xsi:type="dcterms:W3CDTF">2026-08-03T18:40:53.549Z</dcterms:created>
  <dcterms:modified xsi:type="dcterms:W3CDTF">2026-08-03T18:40:53.550Z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